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Stanowisko Intelligent Technologies S.A. w sprawie publikacji dotyczącej The Bridge</w:t>
      </w:r>
    </w:p>
    <w:p>
      <w:pPr>
        <w:spacing w:before="0" w:after="500" w:line="264" w:lineRule="auto"/>
      </w:pPr>
      <w:r>
        <w:rPr>
          <w:rFonts w:ascii="calibri" w:hAnsi="calibri" w:eastAsia="calibri" w:cs="calibri"/>
          <w:sz w:val="36"/>
          <w:szCs w:val="36"/>
          <w:b/>
        </w:rPr>
        <w:t xml:space="preserve">W związku z ostatnimi publikacjami dotyczącymi postępowania prowadzonego przed Urzędem Komunikacji Elektronicznej (UKE) w sprawie dostępu telekomunikacyjnego do kompleksu biurowego The Bridge w Warszawie, Intelligent Technologies S.A. pragnie przedstawić swoje stanowisko oraz szerszy kontekst sprawy.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dotyczący postępowania: </w:t>
      </w:r>
      <w:hyperlink r:id="rId7" w:history="1">
        <w:r>
          <w:rPr>
            <w:rFonts w:ascii="calibri" w:hAnsi="calibri" w:eastAsia="calibri" w:cs="calibri"/>
            <w:color w:val="0000FF"/>
            <w:sz w:val="24"/>
            <w:szCs w:val="24"/>
            <w:u w:val="single"/>
          </w:rPr>
          <w:t xml:space="preserve">www.telko.in/intelligent-technologies-w-sporze-z-ghelamco-o-dostep-do-flagowego-kompleksu-biurowego-w-stolicy</w:t>
        </w:r>
      </w:hyperlink>
    </w:p>
    <w:p>
      <w:pPr>
        <w:spacing w:before="0" w:after="300"/>
      </w:pPr>
      <w:r>
        <w:rPr>
          <w:rFonts w:ascii="calibri" w:hAnsi="calibri" w:eastAsia="calibri" w:cs="calibri"/>
          <w:sz w:val="24"/>
          <w:szCs w:val="24"/>
        </w:rPr>
        <w:t xml:space="preserve">Intelligent Technologies S.A. (ITSA) to zespół specjalistów, którzy współtworzyli fundamenty polskiego rynku telekomunikacyjnego. Osoby tworzące dziś spółkę odpowiadały za </w:t>
      </w:r>
      <w:r>
        <w:rPr>
          <w:rFonts w:ascii="calibri" w:hAnsi="calibri" w:eastAsia="calibri" w:cs="calibri"/>
          <w:sz w:val="24"/>
          <w:szCs w:val="24"/>
          <w:b/>
        </w:rPr>
        <w:t xml:space="preserve">pierwszą komercyjną instalację światłowodową w Polsce w 1990 roku</w:t>
      </w:r>
      <w:r>
        <w:rPr>
          <w:rFonts w:ascii="calibri" w:hAnsi="calibri" w:eastAsia="calibri" w:cs="calibri"/>
          <w:sz w:val="24"/>
          <w:szCs w:val="24"/>
        </w:rPr>
        <w:t xml:space="preserve">, a także za budowę </w:t>
      </w:r>
      <w:r>
        <w:rPr>
          <w:rFonts w:ascii="calibri" w:hAnsi="calibri" w:eastAsia="calibri" w:cs="calibri"/>
          <w:sz w:val="24"/>
          <w:szCs w:val="24"/>
          <w:b/>
        </w:rPr>
        <w:t xml:space="preserve">większej części infrastruktury światłowodowej obsługującej warszawskie biurowce do początku lat 2000.</w:t>
      </w:r>
    </w:p>
    <w:p>
      <w:pPr>
        <w:spacing w:before="0" w:after="300"/>
      </w:pPr>
      <w:r>
        <w:rPr>
          <w:rFonts w:ascii="calibri" w:hAnsi="calibri" w:eastAsia="calibri" w:cs="calibri"/>
          <w:sz w:val="24"/>
          <w:szCs w:val="24"/>
        </w:rPr>
        <w:t xml:space="preserve">Wspólnie z TPSA oraz Ministerstwem Łączności uczestniczyliśmy w tworzeniu modelu „operatora budynkowego”, który umożliwił dynamiczny rozwój konkurencyjnego rynku ICT w Polsce. Przez lata uczestniczyliśmy również w rozwoju i edukacji wielu specjalistów, którzy współtworzyli branżę telekomunikacyjną. To środowisko stworzyło dziś warunki funkcjonowania dla </w:t>
      </w:r>
      <w:r>
        <w:rPr>
          <w:rFonts w:ascii="calibri" w:hAnsi="calibri" w:eastAsia="calibri" w:cs="calibri"/>
          <w:sz w:val="24"/>
          <w:szCs w:val="24"/>
          <w:b/>
        </w:rPr>
        <w:t xml:space="preserve">ponad 3000 zarejestrowanych podmiotów działających na polskim rynku telekomunikacyjnym.</w:t>
      </w:r>
    </w:p>
    <w:p>
      <w:pPr>
        <w:spacing w:before="0" w:after="300"/>
      </w:pPr>
      <w:r>
        <w:rPr>
          <w:rFonts w:ascii="calibri" w:hAnsi="calibri" w:eastAsia="calibri" w:cs="calibri"/>
          <w:sz w:val="24"/>
          <w:szCs w:val="24"/>
        </w:rPr>
        <w:t xml:space="preserve">W ostatnich latach </w:t>
      </w:r>
      <w:r>
        <w:rPr>
          <w:rFonts w:ascii="calibri" w:hAnsi="calibri" w:eastAsia="calibri" w:cs="calibri"/>
          <w:sz w:val="24"/>
          <w:szCs w:val="24"/>
          <w:b/>
        </w:rPr>
        <w:t xml:space="preserve">UKE podjął znaczący wysiłek związany z uporządkowaniem dokumentacji oraz relacji operatorskich</w:t>
      </w:r>
      <w:r>
        <w:rPr>
          <w:rFonts w:ascii="calibri" w:hAnsi="calibri" w:eastAsia="calibri" w:cs="calibri"/>
          <w:sz w:val="24"/>
          <w:szCs w:val="24"/>
        </w:rPr>
        <w:t xml:space="preserve"> w tym historycznie złożonym i rozproszonym środowisku infrastrukturalnym.</w:t>
      </w:r>
    </w:p>
    <w:p>
      <w:pPr>
        <w:spacing w:before="0" w:after="300"/>
      </w:pPr>
      <w:r>
        <w:rPr>
          <w:rFonts w:ascii="calibri" w:hAnsi="calibri" w:eastAsia="calibri" w:cs="calibri"/>
          <w:sz w:val="24"/>
          <w:szCs w:val="24"/>
        </w:rPr>
        <w:t xml:space="preserve">Obecna sytuacja nie jest wyłącznie sporem o dostęp do budynku. Jest pytaniem o to, czy Polska chce utrzymać </w:t>
      </w:r>
      <w:r>
        <w:rPr>
          <w:rFonts w:ascii="calibri" w:hAnsi="calibri" w:eastAsia="calibri" w:cs="calibri"/>
          <w:sz w:val="24"/>
          <w:szCs w:val="24"/>
          <w:b/>
        </w:rPr>
        <w:t xml:space="preserve">standard otwartości infrastrukturalnej</w:t>
      </w:r>
      <w:r>
        <w:rPr>
          <w:rFonts w:ascii="calibri" w:hAnsi="calibri" w:eastAsia="calibri" w:cs="calibri"/>
          <w:sz w:val="24"/>
          <w:szCs w:val="24"/>
        </w:rPr>
        <w:t xml:space="preserve">, który pozostaje fundamentem nowoczesnej gospodarki cyfrowej. Jest to również pytanie o to, czy Polska jest gotowa aktywnie wejść w nową erę regulacji kształtowaną przez </w:t>
      </w:r>
      <w:r>
        <w:rPr>
          <w:rFonts w:ascii="calibri" w:hAnsi="calibri" w:eastAsia="calibri" w:cs="calibri"/>
          <w:sz w:val="24"/>
          <w:szCs w:val="24"/>
          <w:b/>
        </w:rPr>
        <w:t xml:space="preserve">Gigabit Infrastructure Act</w:t>
      </w:r>
      <w:r>
        <w:rPr>
          <w:rFonts w:ascii="calibri" w:hAnsi="calibri" w:eastAsia="calibri" w:cs="calibri"/>
          <w:sz w:val="24"/>
          <w:szCs w:val="24"/>
        </w:rPr>
        <w:t xml:space="preserve">, a także powiązane dyrektywy Unii Europejskiej dotyczące </w:t>
      </w:r>
      <w:r>
        <w:rPr>
          <w:rFonts w:ascii="calibri" w:hAnsi="calibri" w:eastAsia="calibri" w:cs="calibri"/>
          <w:sz w:val="24"/>
          <w:szCs w:val="24"/>
          <w:b/>
        </w:rPr>
        <w:t xml:space="preserve">cyberbezpieczeństwa, odporności infrastruktury oraz suwerenności cyfrowej.</w:t>
      </w:r>
    </w:p>
    <w:p>
      <w:pPr>
        <w:spacing w:before="0" w:after="300"/>
      </w:pPr>
      <w:r>
        <w:rPr>
          <w:rFonts w:ascii="calibri" w:hAnsi="calibri" w:eastAsia="calibri" w:cs="calibri"/>
          <w:sz w:val="24"/>
          <w:szCs w:val="24"/>
        </w:rPr>
        <w:t xml:space="preserve">Intelligent Technologies stoi na stanowisku, że </w:t>
      </w:r>
      <w:r>
        <w:rPr>
          <w:rFonts w:ascii="calibri" w:hAnsi="calibri" w:eastAsia="calibri" w:cs="calibri"/>
          <w:sz w:val="24"/>
          <w:szCs w:val="24"/>
          <w:b/>
        </w:rPr>
        <w:t xml:space="preserve">Polska powinna stać się jednym z liderów tej transformacji</w:t>
      </w:r>
      <w:r>
        <w:rPr>
          <w:rFonts w:ascii="calibri" w:hAnsi="calibri" w:eastAsia="calibri" w:cs="calibri"/>
          <w:sz w:val="24"/>
          <w:szCs w:val="24"/>
        </w:rPr>
        <w:t xml:space="preserve">, a my aktywnie wspieramy regulatorów w tworzeniu nowoczesnych standardów infrastrukturalnych.</w:t>
      </w:r>
    </w:p>
    <w:p>
      <w:pPr>
        <w:spacing w:before="0" w:after="300"/>
      </w:pPr>
      <w:r>
        <w:rPr>
          <w:rFonts w:ascii="calibri" w:hAnsi="calibri" w:eastAsia="calibri" w:cs="calibri"/>
          <w:sz w:val="24"/>
          <w:szCs w:val="24"/>
        </w:rPr>
        <w:t xml:space="preserve">Od samego początku naszym jedynym celem było umożliwienie inwestycji w nowoczesną infrastrukturę światłowodową dla globalnej instytucji finansowej, która ma zostać jednym z kluczowych najemców kompleksu The Bridge.</w:t>
      </w:r>
    </w:p>
    <w:p>
      <w:pPr>
        <w:spacing w:before="0" w:after="300"/>
      </w:pPr>
      <w:r>
        <w:rPr>
          <w:rFonts w:ascii="calibri" w:hAnsi="calibri" w:eastAsia="calibri" w:cs="calibri"/>
          <w:sz w:val="24"/>
          <w:szCs w:val="24"/>
        </w:rPr>
        <w:t xml:space="preserve">Proces został rozpoczęty w 2024 roku zgodnie z przepisami polskiej Megaustawy z 1997 roku od początku był prowadzony w dobrej wierze oraz zgodnie ze wszystkimi obowiązującymi procedurami regulacyjnymi.</w:t>
      </w:r>
    </w:p>
    <w:p>
      <w:pPr>
        <w:spacing w:before="0" w:after="300"/>
      </w:pPr>
      <w:r>
        <w:rPr>
          <w:rFonts w:ascii="calibri" w:hAnsi="calibri" w:eastAsia="calibri" w:cs="calibri"/>
          <w:sz w:val="24"/>
          <w:szCs w:val="24"/>
        </w:rPr>
        <w:t xml:space="preserve">Jednocześnie należy podkreślić, że postępowanie trwa już </w:t>
      </w:r>
      <w:r>
        <w:rPr>
          <w:rFonts w:ascii="calibri" w:hAnsi="calibri" w:eastAsia="calibri" w:cs="calibri"/>
          <w:sz w:val="24"/>
          <w:szCs w:val="24"/>
          <w:b/>
        </w:rPr>
        <w:t xml:space="preserve">23 miesiące</w:t>
      </w:r>
      <w:r>
        <w:rPr>
          <w:rFonts w:ascii="calibri" w:hAnsi="calibri" w:eastAsia="calibri" w:cs="calibri"/>
          <w:sz w:val="24"/>
          <w:szCs w:val="24"/>
        </w:rPr>
        <w:t xml:space="preserve"> i pomimo upływu ustawowych terminów oraz licznych deklaracji składanych przez strony trzecie nadal pozostają nierozstrzygnięte. Zgodnie z obecnym systemem dyrektyw unijnych i polskich regulacji tego typu postępowania powinny być prowadzone sprawnie i kończone bez zbędnej zwłoki.</w:t>
      </w:r>
    </w:p>
    <w:p>
      <w:pPr>
        <w:spacing w:before="0" w:after="300"/>
      </w:pPr>
      <w:r>
        <w:rPr>
          <w:rFonts w:ascii="calibri" w:hAnsi="calibri" w:eastAsia="calibri" w:cs="calibri"/>
          <w:sz w:val="24"/>
          <w:szCs w:val="24"/>
        </w:rPr>
        <w:t xml:space="preserve">Po wielu miesiącach postępowań, negocjacji i kompromisów wszystkie ustawowe terminy dawno upłynęły, a mimo to do dziś nie została przedstawiona finalna umowa dostępowa przez podmioty trzecie reprezentujące Ghelamco.</w:t>
      </w:r>
    </w:p>
    <w:p>
      <w:pPr>
        <w:spacing w:before="0" w:after="300"/>
      </w:pPr>
      <w:r>
        <w:rPr>
          <w:rFonts w:ascii="calibri" w:hAnsi="calibri" w:eastAsia="calibri" w:cs="calibri"/>
          <w:sz w:val="24"/>
          <w:szCs w:val="24"/>
        </w:rPr>
        <w:t xml:space="preserve">ITSA nigdy nie oczekiwała przywilejów ani wyłączności. Naszym celem było wyłącznie uzyskanie prawa do realizacji inwestycji infrastrukturalnych oraz świadczenia usług dla najemców zgodnie z europejskimi standardami </w:t>
      </w:r>
      <w:r>
        <w:rPr>
          <w:rFonts w:ascii="calibri" w:hAnsi="calibri" w:eastAsia="calibri" w:cs="calibri"/>
          <w:sz w:val="24"/>
          <w:szCs w:val="24"/>
          <w:b/>
        </w:rPr>
        <w:t xml:space="preserve">konkurencyjności, odporności cyfrowej oraz bezpieczeństwa infrastruktury krytycznej.</w:t>
      </w:r>
    </w:p>
    <w:p>
      <w:pPr>
        <w:spacing w:before="0" w:after="300"/>
      </w:pPr>
      <w:r>
        <w:rPr>
          <w:rFonts w:ascii="calibri" w:hAnsi="calibri" w:eastAsia="calibri" w:cs="calibri"/>
          <w:sz w:val="24"/>
          <w:szCs w:val="24"/>
        </w:rPr>
        <w:t xml:space="preserve">Warto podkreślić, że nowoczesny obiekt biurowy obsługujący sektor finansowy stanowi dziś bezpośredni przykład praktycznego zastosowania nowych europejskich i krajowych regulacji dotyczących cyberbezpieczeństwa oraz odporności infrastruktury krytycznej — w szczególności </w:t>
      </w:r>
      <w:r>
        <w:rPr>
          <w:rFonts w:ascii="calibri" w:hAnsi="calibri" w:eastAsia="calibri" w:cs="calibri"/>
          <w:sz w:val="24"/>
          <w:szCs w:val="24"/>
          <w:b/>
        </w:rPr>
        <w:t xml:space="preserve">GIA, NIS2, CER oraz DORA.</w:t>
      </w:r>
    </w:p>
    <w:p>
      <w:pPr>
        <w:spacing w:before="0" w:after="300"/>
      </w:pPr>
      <w:r>
        <w:rPr>
          <w:rFonts w:ascii="calibri" w:hAnsi="calibri" w:eastAsia="calibri" w:cs="calibri"/>
          <w:sz w:val="24"/>
          <w:szCs w:val="24"/>
        </w:rPr>
        <w:t xml:space="preserve">Instytucje finansowe oczekują dziś nie tylko estetycznych i komfortowych powierzchni biurowych, ale przede wszystkim: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niezależności infrastrukturalnej,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redundancji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bezpieczeństwa transmisji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swobody wyboru partnerów technologicznych.</w:t>
      </w:r>
    </w:p>
    <w:p>
      <w:pPr>
        <w:spacing w:before="0" w:after="300"/>
      </w:pPr>
      <w:r>
        <w:rPr>
          <w:rFonts w:ascii="calibri" w:hAnsi="calibri" w:eastAsia="calibri" w:cs="calibri"/>
          <w:sz w:val="24"/>
          <w:szCs w:val="24"/>
        </w:rPr>
        <w:t xml:space="preserve">Intelligent Technologies z sukcesem realizowało w przeszłości liczne projekty infrastrukturalne dla wielu budynków Ghelamco w modelu „turnkey”, zapewniając pełną satysfakcję najemców.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Bridge nadal ma potencjał, aby stać się symbolem nowoczesnej i odpornej cyfrowo infrastruktury komercyjnej Europy Środkowo-Wschodniej. Właśnie dlatego wierzymy, że współpraca pomiędzy właścicielami budynków, regulatorami oraz niezależnymi operatorami powinna opierać się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transparentności,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interoperacyjności,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otwartym dostępie do infrastruktury.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Przyszłość infrastruktury budynkowej w Polsce powinna pozostać neutralna operatorsko, przy jednoczesnym zachowaniu najwyższych standardów bezpieczeństwa oraz zgodności regulacyjnej. Najlepszym długoterminowym rozwiązaniem zarówno dla właścicieli nieruchomości, jak i najemców pozostaje </w:t>
      </w:r>
      <w:r>
        <w:rPr>
          <w:rFonts w:ascii="calibri" w:hAnsi="calibri" w:eastAsia="calibri" w:cs="calibri"/>
          <w:sz w:val="24"/>
          <w:szCs w:val="24"/>
          <w:b/>
        </w:rPr>
        <w:t xml:space="preserve">otwarty i konkurencyjny ekosystem</w:t>
      </w:r>
      <w:r>
        <w:rPr>
          <w:rFonts w:ascii="calibri" w:hAnsi="calibri" w:eastAsia="calibri" w:cs="calibri"/>
          <w:sz w:val="24"/>
          <w:szCs w:val="24"/>
        </w:rPr>
        <w:t xml:space="preserve"> funkcjonujący w oparciu o jasne i przejrzyste zasady.</w:t>
      </w:r>
    </w:p>
    <w:p>
      <w:pPr>
        <w:spacing w:before="0" w:after="300"/>
      </w:pPr>
      <w:r>
        <w:rPr>
          <w:rFonts w:ascii="calibri" w:hAnsi="calibri" w:eastAsia="calibri" w:cs="calibri"/>
          <w:sz w:val="24"/>
          <w:szCs w:val="24"/>
        </w:rPr>
        <w:t xml:space="preserve">Dla Intelligent Technologies S.A. sprawa ta nie jest konfliktem biznesowym. Jest częścią szerszej wizji rozwoju polskiej infrastruktury cyfrowej oraz </w:t>
      </w:r>
      <w:r>
        <w:rPr>
          <w:rFonts w:ascii="calibri" w:hAnsi="calibri" w:eastAsia="calibri" w:cs="calibri"/>
          <w:sz w:val="24"/>
          <w:szCs w:val="24"/>
          <w:b/>
        </w:rPr>
        <w:t xml:space="preserve">wzmacniania konkurencyjnej pozycji Polski na kolejne 35 lat i dłużej.</w:t>
      </w:r>
    </w:p>
    <w:p>
      <w:pPr>
        <w:spacing w:before="0" w:after="300"/>
      </w:pPr>
      <w:r>
        <w:rPr>
          <w:rFonts w:ascii="calibri" w:hAnsi="calibri" w:eastAsia="calibri" w:cs="calibri"/>
          <w:sz w:val="24"/>
          <w:szCs w:val="24"/>
        </w:rPr>
        <w:t xml:space="preserve">Wraz ze spółkami Digital Utilities Sp. z o.o., Omega Security Administration Sp. z o.o., ESG Evolutionaries Sp. z o.o. oraz innymi podmiotami należącymi do Omega Group chcemy aktywnie uczestniczyć w budowie </w:t>
      </w:r>
      <w:r>
        <w:rPr>
          <w:rFonts w:ascii="calibri" w:hAnsi="calibri" w:eastAsia="calibri" w:cs="calibri"/>
          <w:sz w:val="24"/>
          <w:szCs w:val="24"/>
          <w:b/>
        </w:rPr>
        <w:t xml:space="preserve">nowego standardu usług cyfrowych dla najbardziej wymagających klientów międzynarodowych.</w:t>
      </w:r>
    </w:p>
    <w:p>
      <w:pPr>
        <w:spacing w:before="0" w:after="300"/>
      </w:pPr>
      <w:r>
        <w:rPr>
          <w:rFonts w:ascii="calibri" w:hAnsi="calibri" w:eastAsia="calibri" w:cs="calibri"/>
          <w:sz w:val="24"/>
          <w:szCs w:val="24"/>
        </w:rPr>
        <w:t xml:space="preserve">Wierzymy, że przyszłość polskiej infrastruktury ICT może stać się jeszcze silniejsza niż jej pionierska przeszłość. </w:t>
      </w:r>
      <w:r>
        <w:rPr>
          <w:rFonts w:ascii="calibri" w:hAnsi="calibri" w:eastAsia="calibri" w:cs="calibri"/>
          <w:sz w:val="24"/>
          <w:szCs w:val="24"/>
          <w:b/>
        </w:rPr>
        <w:t xml:space="preserve">Jesteśmy gotowi ponownie odegrać w tym procesie rolę jednego z liderów oraz aktywnie wspierać UKE poprzez konsultacje i eksperckie doświadczenie w kształtowaniu przyszłości nowoczesnej infrastruktury cyfrowej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Intelligent Infrastructure for a Modern Economy</w:t>
      </w:r>
      <w:r>
        <w:rPr>
          <w:rFonts w:ascii="calibri" w:hAnsi="calibri" w:eastAsia="calibri" w:cs="calibri"/>
          <w:sz w:val="52"/>
          <w:szCs w:val="52"/>
          <w:b/>
        </w:rPr>
        <w:t xml:space="preserve"> </w:t>
      </w:r>
    </w:p>
    <w:p>
      <w:r>
        <w:rPr>
          <w:rFonts w:ascii="calibri" w:hAnsi="calibri" w:eastAsia="calibri" w:cs="calibri"/>
          <w:sz w:val="52"/>
          <w:szCs w:val="52"/>
          <w:b/>
        </w:rPr>
        <w:t xml:space="preserve"> </w:t>
      </w:r>
      <w:r>
        <w:rPr>
          <w:rFonts w:ascii="calibri" w:hAnsi="calibri" w:eastAsia="calibri" w:cs="calibri"/>
          <w:sz w:val="52"/>
          <w:szCs w:val="52"/>
          <w:b/>
          <w:i/>
          <w:iCs/>
        </w:rPr>
        <w:t xml:space="preserve">– Intelligent Technologies S.A. Position Statement Regarding The Bridge</w:t>
      </w:r>
    </w:p>
    <w:p>
      <w:pPr>
        <w:spacing w:before="0" w:after="300"/>
      </w:pPr>
    </w:p>
    <w:p>
      <w:r>
        <w:rPr>
          <w:rFonts w:ascii="calibri" w:hAnsi="calibri" w:eastAsia="calibri" w:cs="calibri"/>
          <w:sz w:val="24"/>
          <w:szCs w:val="24"/>
        </w:rPr>
        <w:t xml:space="preserve"> In connection with recent publications concerning the proceedings conducted before the Office of Electronic Communications (UKE) regarding telecommunications access to The Bridge office complex in Warsaw, Intelligent Technologies S.A. would like to present its position and provide the broader context of the matter.</w:t>
      </w:r>
    </w:p>
    <w:p>
      <w:pPr>
        <w:spacing w:before="0" w:after="300"/>
      </w:pPr>
      <w:r>
        <w:rPr>
          <w:rFonts w:ascii="calibri" w:hAnsi="calibri" w:eastAsia="calibri" w:cs="calibri"/>
          <w:sz w:val="24"/>
          <w:szCs w:val="24"/>
        </w:rPr>
        <w:t xml:space="preserve">Intelligent Technologies S.A. (ITSA) is a team of professionals who helped build the foundations of the Polish telecommunications market. The individuals who today form the company were responsible for </w:t>
      </w:r>
      <w:r>
        <w:rPr>
          <w:rFonts w:ascii="calibri" w:hAnsi="calibri" w:eastAsia="calibri" w:cs="calibri"/>
          <w:sz w:val="24"/>
          <w:szCs w:val="24"/>
          <w:b/>
        </w:rPr>
        <w:t xml:space="preserve">the first commercial fibre-optic installation in Poland in 1990</w:t>
      </w:r>
      <w:r>
        <w:rPr>
          <w:rFonts w:ascii="calibri" w:hAnsi="calibri" w:eastAsia="calibri" w:cs="calibri"/>
          <w:sz w:val="24"/>
          <w:szCs w:val="24"/>
        </w:rPr>
        <w:t xml:space="preserve">, as well as for the construction of most </w:t>
      </w:r>
      <w:r>
        <w:rPr>
          <w:rFonts w:ascii="calibri" w:hAnsi="calibri" w:eastAsia="calibri" w:cs="calibri"/>
          <w:sz w:val="24"/>
          <w:szCs w:val="24"/>
          <w:b/>
        </w:rPr>
        <w:t xml:space="preserve">of the fibre-optic infrastructure serving Warsaw office buildings until the early 2000s.</w:t>
      </w:r>
    </w:p>
    <w:p>
      <w:pPr>
        <w:spacing w:before="0" w:after="300"/>
      </w:pPr>
      <w:r>
        <w:rPr>
          <w:rFonts w:ascii="calibri" w:hAnsi="calibri" w:eastAsia="calibri" w:cs="calibri"/>
          <w:sz w:val="24"/>
          <w:szCs w:val="24"/>
        </w:rPr>
        <w:t xml:space="preserve">Together with TPSA and the Ministry of Communications, we participated in creating the “building operator” model, which enabled the dynamic growth of a competitive ICT market in Poland. Over the years, we have also contributed to the development and education of many professionals who later helped shape the telecommunications industry. This ecosystem ultimately created an operational environment for </w:t>
      </w:r>
      <w:r>
        <w:rPr>
          <w:rFonts w:ascii="calibri" w:hAnsi="calibri" w:eastAsia="calibri" w:cs="calibri"/>
          <w:sz w:val="24"/>
          <w:szCs w:val="24"/>
          <w:b/>
        </w:rPr>
        <w:t xml:space="preserve">more than 3,000 registered telecommunications entities active in Poland today.</w:t>
      </w:r>
    </w:p>
    <w:p>
      <w:pPr>
        <w:spacing w:before="0" w:after="300"/>
      </w:pPr>
      <w:r>
        <w:rPr>
          <w:rFonts w:ascii="calibri" w:hAnsi="calibri" w:eastAsia="calibri" w:cs="calibri"/>
          <w:sz w:val="24"/>
          <w:szCs w:val="24"/>
        </w:rPr>
        <w:t xml:space="preserve">In recent years, </w:t>
      </w:r>
      <w:r>
        <w:rPr>
          <w:rFonts w:ascii="calibri" w:hAnsi="calibri" w:eastAsia="calibri" w:cs="calibri"/>
          <w:sz w:val="24"/>
          <w:szCs w:val="24"/>
          <w:b/>
        </w:rPr>
        <w:t xml:space="preserve">UKE has undertaken a significant effort to organise documentation and operator relationships</w:t>
      </w:r>
      <w:r>
        <w:rPr>
          <w:rFonts w:ascii="calibri" w:hAnsi="calibri" w:eastAsia="calibri" w:cs="calibri"/>
          <w:sz w:val="24"/>
          <w:szCs w:val="24"/>
        </w:rPr>
        <w:t xml:space="preserve"> within this historically complex and highly fragmented infrastructure environment.</w:t>
      </w:r>
    </w:p>
    <w:p>
      <w:pPr>
        <w:spacing w:before="0" w:after="300"/>
      </w:pPr>
      <w:r>
        <w:rPr>
          <w:rFonts w:ascii="calibri" w:hAnsi="calibri" w:eastAsia="calibri" w:cs="calibri"/>
          <w:sz w:val="24"/>
          <w:szCs w:val="24"/>
        </w:rPr>
        <w:t xml:space="preserve">The current situation is not merely a dispute over access to a building. It is a question of whether Poland wishes to maintain </w:t>
      </w:r>
      <w:r>
        <w:rPr>
          <w:rFonts w:ascii="calibri" w:hAnsi="calibri" w:eastAsia="calibri" w:cs="calibri"/>
          <w:sz w:val="24"/>
          <w:szCs w:val="24"/>
          <w:b/>
        </w:rPr>
        <w:t xml:space="preserve">a standard of infrastructure openness</w:t>
      </w:r>
      <w:r>
        <w:rPr>
          <w:rFonts w:ascii="calibri" w:hAnsi="calibri" w:eastAsia="calibri" w:cs="calibri"/>
          <w:sz w:val="24"/>
          <w:szCs w:val="24"/>
        </w:rPr>
        <w:t xml:space="preserve"> that remains fundamental to the development of a modern digital economy. It is also a question of whether Poland is prepared to actively enter a new era shaped by the </w:t>
      </w:r>
      <w:r>
        <w:rPr>
          <w:rFonts w:ascii="calibri" w:hAnsi="calibri" w:eastAsia="calibri" w:cs="calibri"/>
          <w:sz w:val="24"/>
          <w:szCs w:val="24"/>
          <w:b/>
        </w:rPr>
        <w:t xml:space="preserve">Gigabit Infrastructure Act</w:t>
      </w:r>
      <w:r>
        <w:rPr>
          <w:rFonts w:ascii="calibri" w:hAnsi="calibri" w:eastAsia="calibri" w:cs="calibri"/>
          <w:sz w:val="24"/>
          <w:szCs w:val="24"/>
        </w:rPr>
        <w:t xml:space="preserve">, as well as related European Union directives concerning </w:t>
      </w:r>
      <w:r>
        <w:rPr>
          <w:rFonts w:ascii="calibri" w:hAnsi="calibri" w:eastAsia="calibri" w:cs="calibri"/>
          <w:sz w:val="24"/>
          <w:szCs w:val="24"/>
          <w:b/>
        </w:rPr>
        <w:t xml:space="preserve">cybersecurity, infrastructure resilience and digital sovereignty.</w:t>
      </w:r>
    </w:p>
    <w:p>
      <w:pPr>
        <w:spacing w:before="0" w:after="300"/>
      </w:pPr>
      <w:r>
        <w:rPr>
          <w:rFonts w:ascii="calibri" w:hAnsi="calibri" w:eastAsia="calibri" w:cs="calibri"/>
          <w:sz w:val="24"/>
          <w:szCs w:val="24"/>
        </w:rPr>
        <w:t xml:space="preserve">Intelligent Technologies believes that </w:t>
      </w:r>
      <w:r>
        <w:rPr>
          <w:rFonts w:ascii="calibri" w:hAnsi="calibri" w:eastAsia="calibri" w:cs="calibri"/>
          <w:sz w:val="24"/>
          <w:szCs w:val="24"/>
          <w:b/>
        </w:rPr>
        <w:t xml:space="preserve">Poland should become one of the leaders of this transformation</w:t>
      </w:r>
      <w:r>
        <w:rPr>
          <w:rFonts w:ascii="calibri" w:hAnsi="calibri" w:eastAsia="calibri" w:cs="calibri"/>
          <w:sz w:val="24"/>
          <w:szCs w:val="24"/>
        </w:rPr>
        <w:t xml:space="preserve">, and we actively support regulators in developing modern infrastructure standards.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From the very beginning, our sole objective has been to enable investment in modern fibre-optic infrastructure for a global financial institution expected to become one of the key tenants of The Bridge complex.</w:t>
      </w:r>
    </w:p>
    <w:p>
      <w:pPr>
        <w:spacing w:before="0" w:after="300"/>
      </w:pPr>
      <w:r>
        <w:rPr>
          <w:rFonts w:ascii="calibri" w:hAnsi="calibri" w:eastAsia="calibri" w:cs="calibri"/>
          <w:sz w:val="24"/>
          <w:szCs w:val="24"/>
        </w:rPr>
        <w:t xml:space="preserve">The process was initiated in 2024 in accordance with the provisions of the 1997 Polish Mega Act and has been conducted in good faith and in compliance with all applicable regulatory procedures.</w:t>
      </w:r>
    </w:p>
    <w:p>
      <w:pPr>
        <w:spacing w:before="0" w:after="300"/>
      </w:pPr>
      <w:r>
        <w:rPr>
          <w:rFonts w:ascii="calibri" w:hAnsi="calibri" w:eastAsia="calibri" w:cs="calibri"/>
          <w:sz w:val="24"/>
          <w:szCs w:val="24"/>
        </w:rPr>
        <w:t xml:space="preserve">At the same time, it should be noted that the proceedings have now lasted </w:t>
      </w:r>
      <w:r>
        <w:rPr>
          <w:rFonts w:ascii="calibri" w:hAnsi="calibri" w:eastAsia="calibri" w:cs="calibri"/>
          <w:sz w:val="24"/>
          <w:szCs w:val="24"/>
          <w:b/>
        </w:rPr>
        <w:t xml:space="preserve">23 months</w:t>
      </w:r>
      <w:r>
        <w:rPr>
          <w:rFonts w:ascii="calibri" w:hAnsi="calibri" w:eastAsia="calibri" w:cs="calibri"/>
          <w:sz w:val="24"/>
          <w:szCs w:val="24"/>
        </w:rPr>
        <w:t xml:space="preserve"> and, despite the expiration of statutory deadlines and multiple declarations from third parties, remains unresolved. Under the current framework of EU directives and Polish regulations, such proceedings should be conducted efficiently and concluded without unnecessary delay.</w:t>
      </w:r>
    </w:p>
    <w:p>
      <w:pPr>
        <w:spacing w:before="0" w:after="300"/>
      </w:pPr>
      <w:r>
        <w:rPr>
          <w:rFonts w:ascii="calibri" w:hAnsi="calibri" w:eastAsia="calibri" w:cs="calibri"/>
          <w:sz w:val="24"/>
          <w:szCs w:val="24"/>
        </w:rPr>
        <w:t xml:space="preserve">After many months of proceedings, negotiations and compromises, all statutory deadlines have long expired, yet no final access agreement has been presented by the third party entities representing Ghelamco.</w:t>
      </w:r>
    </w:p>
    <w:p>
      <w:pPr>
        <w:spacing w:before="0" w:after="300"/>
      </w:pPr>
      <w:r>
        <w:rPr>
          <w:rFonts w:ascii="calibri" w:hAnsi="calibri" w:eastAsia="calibri" w:cs="calibri"/>
          <w:sz w:val="24"/>
          <w:szCs w:val="24"/>
        </w:rPr>
        <w:t xml:space="preserve">ITSA did not seek privileges or exclusivity. Our sole objective has always been to obtain the right to implement infrastructure investments and provide services to tenants in line with European standards of </w:t>
      </w:r>
      <w:r>
        <w:rPr>
          <w:rFonts w:ascii="calibri" w:hAnsi="calibri" w:eastAsia="calibri" w:cs="calibri"/>
          <w:sz w:val="24"/>
          <w:szCs w:val="24"/>
          <w:b/>
        </w:rPr>
        <w:t xml:space="preserve">competitiveness, digital resilience and critical infrastructure security.</w:t>
      </w:r>
    </w:p>
    <w:p>
      <w:pPr>
        <w:spacing w:before="0" w:after="300"/>
      </w:pPr>
      <w:r>
        <w:rPr>
          <w:rFonts w:ascii="calibri" w:hAnsi="calibri" w:eastAsia="calibri" w:cs="calibri"/>
          <w:sz w:val="24"/>
          <w:szCs w:val="24"/>
        </w:rPr>
        <w:t xml:space="preserve">It is important to emphasise that a modern office facility serving the financial sector is today a direct example of the practical application of new European and national regulations concerning cybersecurity and critical infrastructure resilience — in particular </w:t>
      </w:r>
      <w:r>
        <w:rPr>
          <w:rFonts w:ascii="calibri" w:hAnsi="calibri" w:eastAsia="calibri" w:cs="calibri"/>
          <w:sz w:val="24"/>
          <w:szCs w:val="24"/>
          <w:b/>
        </w:rPr>
        <w:t xml:space="preserve">GIA, NIS2, CER and DORA.</w:t>
      </w:r>
    </w:p>
    <w:p>
      <w:pPr>
        <w:spacing w:before="0" w:after="300"/>
      </w:pPr>
      <w:r>
        <w:rPr>
          <w:rFonts w:ascii="calibri" w:hAnsi="calibri" w:eastAsia="calibri" w:cs="calibri"/>
          <w:sz w:val="24"/>
          <w:szCs w:val="24"/>
        </w:rPr>
        <w:t xml:space="preserve">Financial institutions today expect not only aesthetically pleasing and comfortable office space, but above all: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infrastructure independence,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network redundancy,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secure data transmission,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freedom to choose technology partners.</w:t>
      </w:r>
    </w:p>
    <w:p>
      <w:pPr>
        <w:spacing w:before="0" w:after="300"/>
      </w:pPr>
      <w:r>
        <w:rPr>
          <w:rFonts w:ascii="calibri" w:hAnsi="calibri" w:eastAsia="calibri" w:cs="calibri"/>
          <w:sz w:val="24"/>
          <w:szCs w:val="24"/>
        </w:rPr>
        <w:t xml:space="preserve">Intelligent Technologies has successfully delivered many infrastructure projects for multiple Ghelamco buildings in the past on a turnkey basis, ensuring full tenant satisfaction.</w:t>
      </w:r>
    </w:p>
    <w:p>
      <w:pPr>
        <w:spacing w:before="0" w:after="300"/>
      </w:pPr>
      <w:r>
        <w:rPr>
          <w:rFonts w:ascii="calibri" w:hAnsi="calibri" w:eastAsia="calibri" w:cs="calibri"/>
          <w:sz w:val="24"/>
          <w:szCs w:val="24"/>
        </w:rPr>
        <w:t xml:space="preserve">The Bridge still has the potential to become a symbol of modern and digitally resilient commercial infrastructure in Central and Eastern Europe. This is precisely why we believe that cooperation between building owners, regulators and independent operators should be based 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transparency,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interoperability,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open access to infrastructure.</w:t>
      </w:r>
    </w:p>
    <w:p>
      <w:pPr>
        <w:spacing w:before="0" w:after="300"/>
      </w:pPr>
      <w:r>
        <w:rPr>
          <w:rFonts w:ascii="calibri" w:hAnsi="calibri" w:eastAsia="calibri" w:cs="calibri"/>
          <w:sz w:val="24"/>
          <w:szCs w:val="24"/>
        </w:rPr>
        <w:t xml:space="preserve">The future of building infrastructure in Poland should remain operator-neutral while maintaining the highest standards of security and regulatory compliance. The best long-term solution for both landlords and tenants is </w:t>
      </w:r>
      <w:r>
        <w:rPr>
          <w:rFonts w:ascii="calibri" w:hAnsi="calibri" w:eastAsia="calibri" w:cs="calibri"/>
          <w:sz w:val="24"/>
          <w:szCs w:val="24"/>
          <w:b/>
        </w:rPr>
        <w:t xml:space="preserve">an open and competitive ecosystem</w:t>
      </w:r>
      <w:r>
        <w:rPr>
          <w:rFonts w:ascii="calibri" w:hAnsi="calibri" w:eastAsia="calibri" w:cs="calibri"/>
          <w:sz w:val="24"/>
          <w:szCs w:val="24"/>
        </w:rPr>
        <w:t xml:space="preserve"> operating under clear and transparent rules.</w:t>
      </w:r>
    </w:p>
    <w:p>
      <w:pPr>
        <w:spacing w:before="0" w:after="300"/>
      </w:pPr>
      <w:r>
        <w:rPr>
          <w:rFonts w:ascii="calibri" w:hAnsi="calibri" w:eastAsia="calibri" w:cs="calibri"/>
          <w:sz w:val="24"/>
          <w:szCs w:val="24"/>
        </w:rPr>
        <w:t xml:space="preserve">For Intelligent Technologies S.A., this matter is not a business conflict. It is part of a broader vision for the development of Polish digital infrastructure and </w:t>
      </w:r>
      <w:r>
        <w:rPr>
          <w:rFonts w:ascii="calibri" w:hAnsi="calibri" w:eastAsia="calibri" w:cs="calibri"/>
          <w:sz w:val="24"/>
          <w:szCs w:val="24"/>
          <w:b/>
        </w:rPr>
        <w:t xml:space="preserve">strengthening Poland’s competitive position for the next 35 years and beyond.</w:t>
      </w:r>
    </w:p>
    <w:p>
      <w:pPr>
        <w:spacing w:before="0" w:after="300"/>
      </w:pPr>
      <w:r>
        <w:rPr>
          <w:rFonts w:ascii="calibri" w:hAnsi="calibri" w:eastAsia="calibri" w:cs="calibri"/>
          <w:sz w:val="24"/>
          <w:szCs w:val="24"/>
        </w:rPr>
        <w:t xml:space="preserve">Together with Digital Utilities Sp. z o.o., Omega Security Administration Sp. z o.o., ESG Evolutionaries Sp. z o.o., and other companies belonging to Omega Group, we aim to actively participate in building </w:t>
      </w:r>
      <w:r>
        <w:rPr>
          <w:rFonts w:ascii="calibri" w:hAnsi="calibri" w:eastAsia="calibri" w:cs="calibri"/>
          <w:sz w:val="24"/>
          <w:szCs w:val="24"/>
          <w:b/>
        </w:rPr>
        <w:t xml:space="preserve">a new standard of digital services for the most demanding international clients.</w:t>
      </w:r>
    </w:p>
    <w:p>
      <w:pPr>
        <w:spacing w:before="0" w:after="300"/>
      </w:pPr>
      <w:r>
        <w:rPr>
          <w:rFonts w:ascii="calibri" w:hAnsi="calibri" w:eastAsia="calibri" w:cs="calibri"/>
          <w:sz w:val="24"/>
          <w:szCs w:val="24"/>
        </w:rPr>
        <w:t xml:space="preserve">We believe that the future of Polish ICT infrastructure can become even stronger than its pioneering past. We are ready to once again play a leading role in this process and actively support UKE through consultation and industry expertise in shaping the future of modern digital infrastructure in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ko.in/intelligent-technologies-w-sporze-z-ghelamco-o-dostep-do-flagowego-kompleksu-biurowego-w-st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2026-07-11T21:23:58+02:00</dcterms:created>
  <dcterms:modified xsi:type="dcterms:W3CDTF">2026-07-11T21:23:58+02:00</dcterms:modified>
</cp:coreProperties>
</file>

<file path=docProps/custom.xml><?xml version="1.0" encoding="utf-8"?>
<Properties xmlns="http://schemas.openxmlformats.org/officeDocument/2006/custom-properties" xmlns:vt="http://schemas.openxmlformats.org/officeDocument/2006/docPropsVTypes"/>
</file>