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rozwija infrastrukturę sieciową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Intelligent Technologies S.A., jako część Omega Group, konsekwentnie modernizuje swoją infrastrukturę telekomunikacyjną.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szkielet sieci został w 100% oparty na technologiach </w:t>
      </w:r>
      <w:r>
        <w:rPr>
          <w:rFonts w:ascii="calibri" w:hAnsi="calibri" w:eastAsia="calibri" w:cs="calibri"/>
          <w:sz w:val="24"/>
          <w:szCs w:val="24"/>
          <w:b/>
        </w:rPr>
        <w:t xml:space="preserve">MPLS/EVPN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Segment Routing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sterowanie ruchem, elastyczne definiowanie ścieżek transmisji i obsługę ruchu </w:t>
      </w:r>
      <w:r>
        <w:rPr>
          <w:rFonts w:ascii="calibri" w:hAnsi="calibri" w:eastAsia="calibri" w:cs="calibri"/>
          <w:sz w:val="24"/>
          <w:szCs w:val="24"/>
          <w:b/>
        </w:rPr>
        <w:t xml:space="preserve">100G+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rozbudowy zwiększono przepustowość punktów styku z operatorami klasy </w:t>
      </w:r>
      <w:r>
        <w:rPr>
          <w:rFonts w:ascii="calibri" w:hAnsi="calibri" w:eastAsia="calibri" w:cs="calibri"/>
          <w:sz w:val="24"/>
          <w:szCs w:val="24"/>
          <w:b/>
        </w:rPr>
        <w:t xml:space="preserve">Tier 1</w:t>
      </w:r>
      <w:r>
        <w:rPr>
          <w:rFonts w:ascii="calibri" w:hAnsi="calibri" w:eastAsia="calibri" w:cs="calibri"/>
          <w:sz w:val="24"/>
          <w:szCs w:val="24"/>
        </w:rPr>
        <w:t xml:space="preserve"> – obecnie połączenia z </w:t>
      </w:r>
      <w:r>
        <w:rPr>
          <w:rFonts w:ascii="calibri" w:hAnsi="calibri" w:eastAsia="calibri" w:cs="calibri"/>
          <w:sz w:val="24"/>
          <w:szCs w:val="24"/>
          <w:b/>
        </w:rPr>
        <w:t xml:space="preserve">Arelion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PCCW Global</w:t>
      </w:r>
      <w:r>
        <w:rPr>
          <w:rFonts w:ascii="calibri" w:hAnsi="calibri" w:eastAsia="calibri" w:cs="calibri"/>
          <w:sz w:val="24"/>
          <w:szCs w:val="24"/>
        </w:rPr>
        <w:t xml:space="preserve"> działają w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100 Gb/s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również nowy punkt styku z </w:t>
      </w:r>
      <w:r>
        <w:rPr>
          <w:rFonts w:ascii="calibri" w:hAnsi="calibri" w:eastAsia="calibri" w:cs="calibri"/>
          <w:sz w:val="24"/>
          <w:szCs w:val="24"/>
          <w:b/>
        </w:rPr>
        <w:t xml:space="preserve">ORANGE</w:t>
      </w:r>
      <w:r>
        <w:rPr>
          <w:rFonts w:ascii="calibri" w:hAnsi="calibri" w:eastAsia="calibri" w:cs="calibri"/>
          <w:sz w:val="24"/>
          <w:szCs w:val="24"/>
        </w:rPr>
        <w:t xml:space="preserve">, oparty o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MC-LAG</w:t>
      </w:r>
      <w:r>
        <w:rPr>
          <w:rFonts w:ascii="calibri" w:hAnsi="calibri" w:eastAsia="calibri" w:cs="calibri"/>
          <w:sz w:val="24"/>
          <w:szCs w:val="24"/>
        </w:rPr>
        <w:t xml:space="preserve">, zapewniającą pełną redundancję, równoważenie obciążenia i bezprzerwowe przełączenie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wspierana przez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Scrubbing Center</w:t>
      </w:r>
      <w:r>
        <w:rPr>
          <w:rFonts w:ascii="calibri" w:hAnsi="calibri" w:eastAsia="calibri" w:cs="calibri"/>
          <w:sz w:val="24"/>
          <w:szCs w:val="24"/>
        </w:rPr>
        <w:t xml:space="preserve"> zapewnia wyższy poziom bezpieczeństwa, stabilności i odporności na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„Modernizacja szkieletu sieci i punktów styku to kolejny krok w kierunku jeszcze wyższej jakości i niezawodności usług”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Konofał, Head of Trust Core Network w Intelligent Technologies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2025-12-24T20:30:22+01:00</dcterms:created>
  <dcterms:modified xsi:type="dcterms:W3CDTF">2025-12-24T20:30:22+01:00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